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C3" w:rsidRDefault="008433C3" w:rsidP="008433C3">
      <w:pPr>
        <w:jc w:val="center"/>
        <w:rPr>
          <w:rFonts w:ascii="Aptos" w:eastAsia="Times New Roman" w:hAnsi="Aptos"/>
          <w:color w:val="0563C1"/>
          <w:sz w:val="24"/>
          <w:szCs w:val="24"/>
        </w:rPr>
      </w:pPr>
      <w:r>
        <w:rPr>
          <w:rFonts w:ascii="Aptos" w:eastAsia="Times New Roman" w:hAnsi="Aptos"/>
          <w:b/>
          <w:bCs/>
          <w:noProof/>
          <w:color w:val="0563C1"/>
          <w:sz w:val="24"/>
          <w:szCs w:val="24"/>
        </w:rPr>
        <w:drawing>
          <wp:inline distT="0" distB="0" distL="0" distR="0">
            <wp:extent cx="3114675" cy="581025"/>
            <wp:effectExtent l="0" t="0" r="9525" b="9525"/>
            <wp:docPr id="2" name="Picture 2" descr="cid:ef4bcf96-198c-44e2-b738-f947ef10a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f4bcf96-198c-44e2-b738-f947ef10acc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inline>
        </w:drawing>
      </w:r>
      <w:r>
        <w:rPr>
          <w:rFonts w:ascii="Aptos" w:eastAsia="Times New Roman" w:hAnsi="Aptos"/>
          <w:b/>
          <w:bCs/>
          <w:noProof/>
          <w:color w:val="0563C1"/>
          <w:sz w:val="24"/>
          <w:szCs w:val="24"/>
        </w:rPr>
        <w:drawing>
          <wp:inline distT="0" distB="0" distL="0" distR="0">
            <wp:extent cx="2514600" cy="952500"/>
            <wp:effectExtent l="0" t="0" r="0" b="0"/>
            <wp:docPr id="1" name="Picture 1" descr="cid:4bc56018-4b6d-45c2-bdaf-5443775b57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bc56018-4b6d-45c2-bdaf-5443775b570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952500"/>
                    </a:xfrm>
                    <a:prstGeom prst="rect">
                      <a:avLst/>
                    </a:prstGeom>
                    <a:noFill/>
                    <a:ln>
                      <a:noFill/>
                    </a:ln>
                  </pic:spPr>
                </pic:pic>
              </a:graphicData>
            </a:graphic>
          </wp:inline>
        </w:drawing>
      </w:r>
    </w:p>
    <w:p w:rsidR="008433C3" w:rsidRDefault="008433C3" w:rsidP="008433C3">
      <w:pPr>
        <w:jc w:val="center"/>
        <w:rPr>
          <w:rFonts w:ascii="Aptos" w:eastAsia="Times New Roman" w:hAnsi="Aptos"/>
          <w:color w:val="0563C1"/>
          <w:sz w:val="24"/>
          <w:szCs w:val="24"/>
        </w:rPr>
      </w:pPr>
    </w:p>
    <w:p w:rsidR="008433C3" w:rsidRDefault="008433C3" w:rsidP="008433C3">
      <w:pPr>
        <w:jc w:val="center"/>
        <w:rPr>
          <w:rFonts w:ascii="Aptos" w:eastAsia="Times New Roman" w:hAnsi="Aptos"/>
          <w:color w:val="0563C1"/>
          <w:sz w:val="24"/>
          <w:szCs w:val="24"/>
        </w:rPr>
      </w:pPr>
    </w:p>
    <w:p w:rsidR="008433C3" w:rsidRDefault="008433C3" w:rsidP="008433C3">
      <w:pPr>
        <w:jc w:val="center"/>
        <w:rPr>
          <w:rFonts w:ascii="Aptos" w:eastAsia="Times New Roman" w:hAnsi="Aptos"/>
          <w:color w:val="0563C1"/>
          <w:sz w:val="24"/>
          <w:szCs w:val="24"/>
        </w:rPr>
      </w:pPr>
    </w:p>
    <w:p w:rsidR="008433C3" w:rsidRDefault="008433C3" w:rsidP="008433C3">
      <w:pPr>
        <w:jc w:val="center"/>
        <w:rPr>
          <w:rFonts w:ascii="Aptos" w:eastAsia="Times New Roman" w:hAnsi="Aptos"/>
          <w:color w:val="0563C1"/>
          <w:sz w:val="24"/>
          <w:szCs w:val="24"/>
        </w:rPr>
      </w:pPr>
    </w:p>
    <w:p w:rsidR="008433C3" w:rsidRDefault="008433C3" w:rsidP="008433C3">
      <w:pPr>
        <w:jc w:val="center"/>
        <w:rPr>
          <w:rFonts w:ascii="Aptos" w:eastAsia="Times New Roman" w:hAnsi="Aptos"/>
          <w:color w:val="0563C1"/>
          <w:sz w:val="24"/>
          <w:szCs w:val="24"/>
        </w:rPr>
      </w:pPr>
    </w:p>
    <w:p w:rsidR="008433C3" w:rsidRDefault="008433C3" w:rsidP="008433C3">
      <w:pPr>
        <w:rPr>
          <w:rFonts w:ascii="Century Gothic" w:eastAsia="Times New Roman" w:hAnsi="Century Gothic"/>
          <w:b/>
          <w:bCs/>
          <w:i/>
          <w:iCs/>
          <w:color w:val="0563C1"/>
        </w:rPr>
      </w:pPr>
      <w:r>
        <w:rPr>
          <w:rFonts w:ascii="Century Gothic" w:eastAsia="Times New Roman" w:hAnsi="Century Gothic"/>
          <w:b/>
          <w:bCs/>
          <w:color w:val="0563C1"/>
        </w:rPr>
        <w:t xml:space="preserve">The </w:t>
      </w:r>
      <w:r>
        <w:rPr>
          <w:rFonts w:ascii="Century Gothic" w:eastAsia="Times New Roman" w:hAnsi="Century Gothic"/>
          <w:b/>
          <w:bCs/>
          <w:i/>
          <w:iCs/>
          <w:color w:val="0563C1"/>
        </w:rPr>
        <w:t>Centre for Civil Society – University of KwaZulu-Natal</w:t>
      </w:r>
      <w:r>
        <w:rPr>
          <w:rFonts w:ascii="Century Gothic" w:eastAsia="Times New Roman" w:hAnsi="Century Gothic"/>
          <w:b/>
          <w:bCs/>
          <w:color w:val="0563C1"/>
        </w:rPr>
        <w:t xml:space="preserve"> in Collaboration with the </w:t>
      </w:r>
      <w:r>
        <w:rPr>
          <w:rFonts w:ascii="Century Gothic" w:eastAsia="Times New Roman" w:hAnsi="Century Gothic"/>
          <w:b/>
          <w:bCs/>
          <w:i/>
          <w:iCs/>
          <w:color w:val="0563C1"/>
        </w:rPr>
        <w:t>Right2Know</w:t>
      </w:r>
    </w:p>
    <w:p w:rsidR="008433C3" w:rsidRDefault="008433C3" w:rsidP="008433C3">
      <w:pPr>
        <w:rPr>
          <w:rFonts w:ascii="Century Gothic" w:eastAsia="Times New Roman" w:hAnsi="Century Gothic"/>
          <w:color w:val="0563C1"/>
        </w:rPr>
      </w:pPr>
    </w:p>
    <w:p w:rsidR="008433C3" w:rsidRDefault="008433C3" w:rsidP="008433C3">
      <w:pPr>
        <w:rPr>
          <w:rFonts w:ascii="Century Gothic" w:eastAsia="Times New Roman" w:hAnsi="Century Gothic"/>
          <w:color w:val="0563C1"/>
        </w:rPr>
      </w:pPr>
      <w:r>
        <w:rPr>
          <w:rFonts w:ascii="Century Gothic" w:eastAsia="Times New Roman" w:hAnsi="Century Gothic"/>
          <w:b/>
          <w:bCs/>
          <w:color w:val="0563C1"/>
        </w:rPr>
        <w:t>Seminar Series: Civil Society Reflections on 30 Years of Democracy in South Africa</w:t>
      </w:r>
    </w:p>
    <w:p w:rsidR="008433C3" w:rsidRDefault="008433C3" w:rsidP="008433C3">
      <w:pPr>
        <w:jc w:val="center"/>
        <w:rPr>
          <w:rFonts w:ascii="Century Gothic" w:eastAsia="Times New Roman" w:hAnsi="Century Gothic"/>
          <w:color w:val="0563C1"/>
        </w:rPr>
      </w:pPr>
      <w:r>
        <w:rPr>
          <w:rFonts w:ascii="Century Gothic" w:eastAsia="Times New Roman" w:hAnsi="Century Gothic"/>
          <w:b/>
          <w:bCs/>
          <w:color w:val="0563C1"/>
        </w:rPr>
        <w:t> </w:t>
      </w:r>
    </w:p>
    <w:p w:rsidR="008433C3" w:rsidRDefault="008433C3" w:rsidP="008433C3">
      <w:pPr>
        <w:rPr>
          <w:rFonts w:ascii="Century Gothic" w:eastAsia="Times New Roman" w:hAnsi="Century Gothic"/>
          <w:color w:val="0563C1"/>
        </w:rPr>
      </w:pPr>
      <w:r>
        <w:rPr>
          <w:rFonts w:ascii="Century Gothic" w:eastAsia="Times New Roman" w:hAnsi="Century Gothic"/>
          <w:color w:val="0563C1"/>
        </w:rPr>
        <w:t xml:space="preserve">2024 marks 30 years of democracy in South Africa. In this seminar series we engage with activists from critical South African social movements and social justice campaigns to consider the state of political and human rights, environmental justice, informal employment, access to health and the impacts on livelihoods from resource extraction. Please join us for discussions with the Right2Know, the South Durban Community Environmental Alliance, the Market Users Committee, the Treatment Action Campaign and the </w:t>
      </w:r>
      <w:proofErr w:type="spellStart"/>
      <w:r>
        <w:rPr>
          <w:rFonts w:ascii="Century Gothic" w:eastAsia="Times New Roman" w:hAnsi="Century Gothic"/>
          <w:color w:val="0563C1"/>
        </w:rPr>
        <w:t>Ama</w:t>
      </w:r>
      <w:bookmarkStart w:id="0" w:name="_GoBack"/>
      <w:bookmarkEnd w:id="0"/>
      <w:r>
        <w:rPr>
          <w:rFonts w:ascii="Century Gothic" w:eastAsia="Times New Roman" w:hAnsi="Century Gothic"/>
          <w:color w:val="0563C1"/>
        </w:rPr>
        <w:t>diba</w:t>
      </w:r>
      <w:proofErr w:type="spellEnd"/>
      <w:r>
        <w:rPr>
          <w:rFonts w:ascii="Century Gothic" w:eastAsia="Times New Roman" w:hAnsi="Century Gothic"/>
          <w:color w:val="0563C1"/>
        </w:rPr>
        <w:t xml:space="preserve"> Crisis Committee.</w:t>
      </w:r>
    </w:p>
    <w:p w:rsidR="008433C3" w:rsidRDefault="008433C3" w:rsidP="008433C3">
      <w:pPr>
        <w:rPr>
          <w:rFonts w:ascii="Century Gothic" w:eastAsia="Times New Roman" w:hAnsi="Century Gothic"/>
          <w:color w:val="0563C1"/>
        </w:rPr>
      </w:pPr>
      <w:r>
        <w:rPr>
          <w:rFonts w:ascii="Century Gothic" w:eastAsia="Times New Roman" w:hAnsi="Century Gothic"/>
          <w:color w:val="0563C1"/>
        </w:rPr>
        <w:t> </w:t>
      </w:r>
    </w:p>
    <w:p w:rsidR="008433C3" w:rsidRDefault="008433C3" w:rsidP="008433C3">
      <w:pPr>
        <w:rPr>
          <w:rFonts w:ascii="Century Gothic" w:eastAsia="Times New Roman" w:hAnsi="Century Gothic"/>
          <w:b/>
          <w:bCs/>
          <w:color w:val="0563C1"/>
        </w:rPr>
      </w:pPr>
      <w:r>
        <w:rPr>
          <w:rFonts w:ascii="Century Gothic" w:eastAsia="Times New Roman" w:hAnsi="Century Gothic"/>
          <w:b/>
          <w:bCs/>
          <w:color w:val="0563C1"/>
        </w:rPr>
        <w:t>Seminar Three</w:t>
      </w:r>
    </w:p>
    <w:p w:rsidR="008433C3" w:rsidRDefault="008433C3" w:rsidP="008433C3">
      <w:pPr>
        <w:rPr>
          <w:rFonts w:ascii="Century Gothic" w:eastAsia="Times New Roman" w:hAnsi="Century Gothic"/>
          <w:color w:val="0563C1"/>
        </w:rPr>
      </w:pPr>
    </w:p>
    <w:p w:rsidR="008433C3" w:rsidRDefault="008433C3" w:rsidP="008433C3">
      <w:pPr>
        <w:rPr>
          <w:rFonts w:ascii="Century Gothic" w:eastAsia="Times New Roman" w:hAnsi="Century Gothic"/>
          <w:b/>
          <w:bCs/>
          <w:color w:val="0563C1"/>
        </w:rPr>
      </w:pPr>
      <w:r>
        <w:rPr>
          <w:rFonts w:ascii="Century Gothic" w:eastAsia="Times New Roman" w:hAnsi="Century Gothic"/>
          <w:b/>
          <w:bCs/>
          <w:color w:val="0563C1"/>
        </w:rPr>
        <w:t xml:space="preserve">Topic: Resource extraction in South Africa: Its impact on local communities – a view from the </w:t>
      </w:r>
      <w:proofErr w:type="spellStart"/>
      <w:r>
        <w:rPr>
          <w:rFonts w:ascii="Century Gothic" w:eastAsia="Times New Roman" w:hAnsi="Century Gothic"/>
          <w:b/>
          <w:bCs/>
          <w:color w:val="0563C1"/>
        </w:rPr>
        <w:t>Amadiba</w:t>
      </w:r>
      <w:proofErr w:type="spellEnd"/>
      <w:r>
        <w:rPr>
          <w:rFonts w:ascii="Century Gothic" w:eastAsia="Times New Roman" w:hAnsi="Century Gothic"/>
          <w:b/>
          <w:bCs/>
          <w:color w:val="0563C1"/>
        </w:rPr>
        <w:t xml:space="preserve"> Crisis Committee</w:t>
      </w:r>
    </w:p>
    <w:p w:rsidR="008433C3" w:rsidRDefault="008433C3" w:rsidP="008433C3">
      <w:pPr>
        <w:rPr>
          <w:rFonts w:ascii="Century Gothic" w:eastAsia="Times New Roman" w:hAnsi="Century Gothic"/>
          <w:color w:val="0563C1"/>
        </w:rPr>
      </w:pPr>
    </w:p>
    <w:p w:rsidR="008433C3" w:rsidRDefault="008433C3" w:rsidP="008433C3">
      <w:pPr>
        <w:rPr>
          <w:rFonts w:ascii="Century Gothic" w:eastAsia="Times New Roman" w:hAnsi="Century Gothic"/>
          <w:color w:val="0563C1"/>
        </w:rPr>
      </w:pPr>
      <w:r>
        <w:rPr>
          <w:rFonts w:ascii="Century Gothic" w:eastAsia="Times New Roman" w:hAnsi="Century Gothic"/>
          <w:b/>
          <w:bCs/>
          <w:color w:val="0563C1"/>
        </w:rPr>
        <w:t>Date &amp; Time: Tuesday 11 June, 13:00-14:00</w:t>
      </w:r>
    </w:p>
    <w:p w:rsidR="008433C3" w:rsidRDefault="008433C3" w:rsidP="008433C3">
      <w:pPr>
        <w:rPr>
          <w:rFonts w:ascii="Century Gothic" w:eastAsia="Times New Roman" w:hAnsi="Century Gothic"/>
          <w:b/>
          <w:bCs/>
          <w:color w:val="0563C1"/>
        </w:rPr>
      </w:pPr>
      <w:r>
        <w:rPr>
          <w:rFonts w:ascii="Century Gothic" w:eastAsia="Times New Roman" w:hAnsi="Century Gothic"/>
          <w:b/>
          <w:bCs/>
          <w:color w:val="0563C1"/>
        </w:rPr>
        <w:t>Zoom Link:</w:t>
      </w:r>
    </w:p>
    <w:p w:rsidR="008433C3" w:rsidRDefault="008433C3" w:rsidP="008433C3">
      <w:pPr>
        <w:rPr>
          <w:rFonts w:ascii="Century Gothic" w:eastAsia="Times New Roman" w:hAnsi="Century Gothic"/>
          <w:color w:val="0563C1"/>
        </w:rPr>
      </w:pPr>
      <w:hyperlink r:id="rId8" w:history="1">
        <w:r w:rsidRPr="00D22D15">
          <w:rPr>
            <w:rStyle w:val="Hyperlink"/>
            <w:rFonts w:ascii="Century Gothic" w:eastAsia="Times New Roman" w:hAnsi="Century Gothic"/>
            <w:b/>
            <w:bCs/>
          </w:rPr>
          <w:t>https://ukzn.zoom.us/j/91336964960?pwd=HuKZj3xfR3JbItWB1sqRF4XLI7awPt.1</w:t>
        </w:r>
      </w:hyperlink>
    </w:p>
    <w:p w:rsidR="008433C3" w:rsidRDefault="008433C3" w:rsidP="008433C3">
      <w:pPr>
        <w:rPr>
          <w:rFonts w:ascii="Century Gothic" w:eastAsia="Times New Roman" w:hAnsi="Century Gothic"/>
          <w:color w:val="0563C1"/>
        </w:rPr>
      </w:pPr>
      <w:r>
        <w:rPr>
          <w:rFonts w:ascii="Century Gothic" w:eastAsia="Times New Roman" w:hAnsi="Century Gothic"/>
          <w:b/>
          <w:bCs/>
          <w:color w:val="0563C1"/>
        </w:rPr>
        <w:t xml:space="preserve">Speaker: Nonhle </w:t>
      </w:r>
      <w:proofErr w:type="spellStart"/>
      <w:r>
        <w:rPr>
          <w:rFonts w:ascii="Century Gothic" w:eastAsia="Times New Roman" w:hAnsi="Century Gothic"/>
          <w:b/>
          <w:bCs/>
          <w:color w:val="0563C1"/>
        </w:rPr>
        <w:t>Mbuthuma</w:t>
      </w:r>
      <w:proofErr w:type="spellEnd"/>
    </w:p>
    <w:p w:rsidR="008433C3" w:rsidRDefault="008433C3" w:rsidP="008433C3">
      <w:pPr>
        <w:rPr>
          <w:rFonts w:ascii="Century Gothic" w:eastAsia="Times New Roman" w:hAnsi="Century Gothic"/>
          <w:color w:val="0563C1"/>
        </w:rPr>
      </w:pPr>
    </w:p>
    <w:p w:rsidR="008433C3" w:rsidRDefault="008433C3" w:rsidP="008433C3">
      <w:pPr>
        <w:rPr>
          <w:rFonts w:ascii="Century Gothic" w:eastAsia="Times New Roman" w:hAnsi="Century Gothic"/>
          <w:color w:val="0563C1"/>
        </w:rPr>
      </w:pPr>
      <w:r>
        <w:rPr>
          <w:rFonts w:ascii="Century Gothic" w:eastAsia="Times New Roman" w:hAnsi="Century Gothic"/>
          <w:b/>
          <w:bCs/>
          <w:color w:val="0563C1"/>
        </w:rPr>
        <w:t>Bio</w:t>
      </w:r>
      <w:r>
        <w:rPr>
          <w:rFonts w:ascii="Century Gothic" w:eastAsia="Times New Roman" w:hAnsi="Century Gothic"/>
          <w:color w:val="0563C1"/>
        </w:rPr>
        <w:t>:</w:t>
      </w:r>
    </w:p>
    <w:p w:rsidR="008433C3" w:rsidRDefault="008433C3" w:rsidP="008433C3">
      <w:pPr>
        <w:rPr>
          <w:rFonts w:ascii="Century Gothic" w:eastAsia="Times New Roman" w:hAnsi="Century Gothic"/>
          <w:color w:val="0563C1"/>
        </w:rPr>
      </w:pPr>
      <w:r>
        <w:rPr>
          <w:rFonts w:ascii="Century Gothic" w:eastAsia="Times New Roman" w:hAnsi="Century Gothic"/>
          <w:color w:val="0563C1"/>
        </w:rPr>
        <w:t xml:space="preserve"> Nonhle </w:t>
      </w:r>
      <w:proofErr w:type="spellStart"/>
      <w:r>
        <w:rPr>
          <w:rFonts w:ascii="Century Gothic" w:eastAsia="Times New Roman" w:hAnsi="Century Gothic"/>
          <w:color w:val="0563C1"/>
        </w:rPr>
        <w:t>Mbuthuma</w:t>
      </w:r>
      <w:proofErr w:type="spellEnd"/>
      <w:r>
        <w:rPr>
          <w:rFonts w:ascii="Century Gothic" w:eastAsia="Times New Roman" w:hAnsi="Century Gothic"/>
          <w:color w:val="0563C1"/>
        </w:rPr>
        <w:t xml:space="preserve"> is the Spokesperson of the </w:t>
      </w:r>
      <w:proofErr w:type="spellStart"/>
      <w:r>
        <w:rPr>
          <w:rFonts w:ascii="Century Gothic" w:eastAsia="Times New Roman" w:hAnsi="Century Gothic"/>
          <w:color w:val="0563C1"/>
        </w:rPr>
        <w:t>Amadiba</w:t>
      </w:r>
      <w:proofErr w:type="spellEnd"/>
      <w:r>
        <w:rPr>
          <w:rFonts w:ascii="Century Gothic" w:eastAsia="Times New Roman" w:hAnsi="Century Gothic"/>
          <w:color w:val="0563C1"/>
        </w:rPr>
        <w:t xml:space="preserve"> Crisis Committee (ACC). She took part in the forming of this structure at the traditional community court </w:t>
      </w:r>
      <w:proofErr w:type="spellStart"/>
      <w:r>
        <w:rPr>
          <w:rFonts w:ascii="Century Gothic" w:eastAsia="Times New Roman" w:hAnsi="Century Gothic"/>
          <w:color w:val="0563C1"/>
        </w:rPr>
        <w:t>Umgungundlovu</w:t>
      </w:r>
      <w:proofErr w:type="spellEnd"/>
      <w:r>
        <w:rPr>
          <w:rFonts w:ascii="Century Gothic" w:eastAsia="Times New Roman" w:hAnsi="Century Gothic"/>
          <w:color w:val="0563C1"/>
        </w:rPr>
        <w:t xml:space="preserve"> </w:t>
      </w:r>
      <w:proofErr w:type="spellStart"/>
      <w:r>
        <w:rPr>
          <w:rFonts w:ascii="Century Gothic" w:eastAsia="Times New Roman" w:hAnsi="Century Gothic"/>
          <w:color w:val="0563C1"/>
        </w:rPr>
        <w:t>Komkhulu</w:t>
      </w:r>
      <w:proofErr w:type="spellEnd"/>
      <w:r>
        <w:rPr>
          <w:rFonts w:ascii="Century Gothic" w:eastAsia="Times New Roman" w:hAnsi="Century Gothic"/>
          <w:color w:val="0563C1"/>
        </w:rPr>
        <w:t xml:space="preserve"> (Great Place) in </w:t>
      </w:r>
      <w:proofErr w:type="spellStart"/>
      <w:r>
        <w:rPr>
          <w:rFonts w:ascii="Century Gothic" w:eastAsia="Times New Roman" w:hAnsi="Century Gothic"/>
          <w:color w:val="0563C1"/>
        </w:rPr>
        <w:t>Xolobeni</w:t>
      </w:r>
      <w:proofErr w:type="spellEnd"/>
      <w:r>
        <w:rPr>
          <w:rFonts w:ascii="Century Gothic" w:eastAsia="Times New Roman" w:hAnsi="Century Gothic"/>
          <w:color w:val="0563C1"/>
        </w:rPr>
        <w:t xml:space="preserve"> on the Wild Coast in August 2007. This was following the conflict with Australian mining company MRC whose extraction activities became a concern for the community. Nonhle was one of the ten first elected to the executive of the ACC, which today is a mass organisation in seven villages and still expanding. ACC’s executive was re-elected in the villages in October 2016 after the assassination of Bazooka Radebe and today comprises a majority woman, reflecting the strong position of women among </w:t>
      </w:r>
      <w:proofErr w:type="spellStart"/>
      <w:r>
        <w:rPr>
          <w:rFonts w:ascii="Century Gothic" w:eastAsia="Times New Roman" w:hAnsi="Century Gothic"/>
          <w:color w:val="0563C1"/>
        </w:rPr>
        <w:t>AmaMpondos</w:t>
      </w:r>
      <w:proofErr w:type="spellEnd"/>
      <w:r>
        <w:rPr>
          <w:rFonts w:ascii="Century Gothic" w:eastAsia="Times New Roman" w:hAnsi="Century Gothic"/>
          <w:color w:val="0563C1"/>
        </w:rPr>
        <w:t>.</w:t>
      </w:r>
    </w:p>
    <w:p w:rsidR="006C281B" w:rsidRDefault="006C281B"/>
    <w:sectPr w:rsidR="006C2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C3"/>
    <w:rsid w:val="006C281B"/>
    <w:rsid w:val="008433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D81"/>
  <w15:chartTrackingRefBased/>
  <w15:docId w15:val="{FAC4F792-AC7F-4E97-BABD-CE3D09DB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C3"/>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C3"/>
    <w:rPr>
      <w:color w:val="0000FF"/>
      <w:u w:val="single"/>
    </w:rPr>
  </w:style>
  <w:style w:type="character" w:styleId="UnresolvedMention">
    <w:name w:val="Unresolved Mention"/>
    <w:basedOn w:val="DefaultParagraphFont"/>
    <w:uiPriority w:val="99"/>
    <w:semiHidden/>
    <w:unhideWhenUsed/>
    <w:rsid w:val="0084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2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zoom.us/j/91336964960?pwd=HuKZj3xfR3JbItWB1sqRF4XLI7awPt.1" TargetMode="External"/><Relationship Id="rId3" Type="http://schemas.openxmlformats.org/officeDocument/2006/relationships/webSettings" Target="webSettings.xml"/><Relationship Id="rId7" Type="http://schemas.openxmlformats.org/officeDocument/2006/relationships/image" Target="cid:4bc56018-4b6d-45c2-bdaf-5443775b57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ef4bcf96-198c-44e2-b738-f947ef10acc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 Dlamini</dc:creator>
  <cp:keywords/>
  <dc:description/>
  <cp:lastModifiedBy>Simo Dlamini</cp:lastModifiedBy>
  <cp:revision>1</cp:revision>
  <dcterms:created xsi:type="dcterms:W3CDTF">2024-06-10T07:28:00Z</dcterms:created>
  <dcterms:modified xsi:type="dcterms:W3CDTF">2024-06-10T07:32:00Z</dcterms:modified>
</cp:coreProperties>
</file>